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88C" w:rsidRPr="0075188C" w:rsidRDefault="0075188C" w:rsidP="0075188C">
      <w:pPr>
        <w:spacing w:before="225" w:after="225"/>
        <w:outlineLvl w:val="0"/>
        <w:rPr>
          <w:rFonts w:ascii="Lato" w:eastAsia="Times New Roman" w:hAnsi="Lato" w:cs="Times New Roman"/>
          <w:color w:val="666666"/>
          <w:kern w:val="36"/>
          <w:sz w:val="50"/>
          <w:szCs w:val="50"/>
          <w14:ligatures w14:val="none"/>
        </w:rPr>
      </w:pPr>
      <w:r w:rsidRPr="0075188C">
        <w:rPr>
          <w:rFonts w:ascii="Lato" w:eastAsia="Times New Roman" w:hAnsi="Lato" w:cs="Times New Roman"/>
          <w:color w:val="666666"/>
          <w:kern w:val="36"/>
          <w:sz w:val="50"/>
          <w:szCs w:val="50"/>
          <w14:ligatures w14:val="none"/>
        </w:rPr>
        <w:t>STAT 200 101/103 2024W1</w:t>
      </w:r>
      <w:r w:rsidRPr="0075188C">
        <w:rPr>
          <w:rFonts w:ascii="Lato" w:eastAsia="Times New Roman" w:hAnsi="Lato" w:cs="Times New Roman"/>
          <w:color w:val="666666"/>
          <w:kern w:val="36"/>
          <w:sz w:val="50"/>
          <w:szCs w:val="50"/>
          <w14:ligatures w14:val="none"/>
        </w:rPr>
        <w:t xml:space="preserve"> </w:t>
      </w:r>
      <w:r w:rsidRPr="0075188C">
        <w:rPr>
          <w:rFonts w:ascii="Lato" w:eastAsia="Times New Roman" w:hAnsi="Lato" w:cs="Times New Roman"/>
          <w:color w:val="666666"/>
          <w:kern w:val="36"/>
          <w:sz w:val="50"/>
          <w:szCs w:val="50"/>
          <w14:ligatures w14:val="none"/>
        </w:rPr>
        <w:t>Syllabus</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Course Description</w:t>
      </w:r>
      <w:r w:rsidRPr="0075188C">
        <w:rPr>
          <w:rFonts w:ascii="Lato" w:eastAsia="Times New Roman" w:hAnsi="Lato" w:cs="Times New Roman"/>
          <w:color w:val="2D3B45"/>
          <w:kern w:val="0"/>
          <w14:ligatures w14:val="none"/>
        </w:rPr>
        <w:t>: Classical, nonparametric and robust inferences about means, variances, and analysis of variance, using computers. Emphasis on problem formulation, assumptions, and interpretation.</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Objective</w:t>
      </w:r>
      <w:r w:rsidRPr="0075188C">
        <w:rPr>
          <w:rFonts w:ascii="Lato" w:eastAsia="Times New Roman" w:hAnsi="Lato" w:cs="Times New Roman"/>
          <w:color w:val="2D3B45"/>
          <w:kern w:val="0"/>
          <w14:ligatures w14:val="none"/>
        </w:rPr>
        <w:t xml:space="preserve">: This course provides the basic statistical toolkit required for the understanding and use of a range of methods for both summarizing and analyzing data, giving a platform for further study of applied Statistics. The emphasis in the course will be the application of these methods to real life situations from </w:t>
      </w:r>
      <w:proofErr w:type="gramStart"/>
      <w:r w:rsidRPr="0075188C">
        <w:rPr>
          <w:rFonts w:ascii="Lato" w:eastAsia="Times New Roman" w:hAnsi="Lato" w:cs="Times New Roman"/>
          <w:color w:val="2D3B45"/>
          <w:kern w:val="0"/>
          <w14:ligatures w14:val="none"/>
        </w:rPr>
        <w:t>Science</w:t>
      </w:r>
      <w:proofErr w:type="gramEnd"/>
      <w:r w:rsidRPr="0075188C">
        <w:rPr>
          <w:rFonts w:ascii="Lato" w:eastAsia="Times New Roman" w:hAnsi="Lato" w:cs="Times New Roman"/>
          <w:color w:val="2D3B45"/>
          <w:kern w:val="0"/>
          <w14:ligatures w14:val="none"/>
        </w:rPr>
        <w:t>.</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Prerequisites</w:t>
      </w:r>
      <w:r w:rsidRPr="0075188C">
        <w:rPr>
          <w:rFonts w:ascii="Lato" w:eastAsia="Times New Roman" w:hAnsi="Lato" w:cs="Times New Roman"/>
          <w:color w:val="2D3B45"/>
          <w:kern w:val="0"/>
          <w14:ligatures w14:val="none"/>
        </w:rPr>
        <w:t>: One of MATH 101, 103, 105, 120 or SCIE 001.</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Recommended textbook</w:t>
      </w:r>
      <w:r w:rsidRPr="0075188C">
        <w:rPr>
          <w:rFonts w:ascii="Lato" w:eastAsia="Times New Roman" w:hAnsi="Lato" w:cs="Times New Roman"/>
          <w:color w:val="2D3B45"/>
          <w:kern w:val="0"/>
          <w14:ligatures w14:val="none"/>
        </w:rPr>
        <w:t xml:space="preserve">: De </w:t>
      </w:r>
      <w:proofErr w:type="spellStart"/>
      <w:r w:rsidRPr="0075188C">
        <w:rPr>
          <w:rFonts w:ascii="Lato" w:eastAsia="Times New Roman" w:hAnsi="Lato" w:cs="Times New Roman"/>
          <w:color w:val="2D3B45"/>
          <w:kern w:val="0"/>
          <w14:ligatures w14:val="none"/>
        </w:rPr>
        <w:t>Veaux</w:t>
      </w:r>
      <w:proofErr w:type="spellEnd"/>
      <w:r w:rsidRPr="0075188C">
        <w:rPr>
          <w:rFonts w:ascii="Lato" w:eastAsia="Times New Roman" w:hAnsi="Lato" w:cs="Times New Roman"/>
          <w:color w:val="2D3B45"/>
          <w:kern w:val="0"/>
          <w14:ligatures w14:val="none"/>
        </w:rPr>
        <w:t>, R.D., Velleman, P.F., et al. (2018).  Stats: Data and Models (Third Canadian edition).  Toronto: Pearson Canada. </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Labs</w:t>
      </w:r>
      <w:r w:rsidRPr="0075188C">
        <w:rPr>
          <w:rFonts w:ascii="Lato" w:eastAsia="Times New Roman" w:hAnsi="Lato" w:cs="Times New Roman"/>
          <w:color w:val="2D3B45"/>
          <w:kern w:val="0"/>
          <w14:ligatures w14:val="none"/>
        </w:rPr>
        <w:t>: Labs start in the first week of class. We will use R for data analysis.  There will be weekly lab assignments to be completed. </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Teaching method:  </w:t>
      </w:r>
      <w:r w:rsidRPr="0075188C">
        <w:rPr>
          <w:rFonts w:ascii="Lato" w:eastAsia="Times New Roman" w:hAnsi="Lato" w:cs="Times New Roman"/>
          <w:color w:val="2D3B45"/>
          <w:kern w:val="0"/>
          <w14:ligatures w14:val="none"/>
        </w:rPr>
        <w:t>We will adopt a partially flipped classroom teaching approach. There will be assigned reading which students are expected to complete before class. During lecture, the instructor will review concepts, deliver course material and use part of the lecture for in-class activities. Students will be solving problems on topics recently covered during in-class activities. Clicker-like questions will be given along the way to check progress and provide feedback to students.   </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Piazza Discussion Board: </w:t>
      </w:r>
      <w:r w:rsidRPr="0075188C">
        <w:rPr>
          <w:rFonts w:ascii="Lato" w:eastAsia="Times New Roman" w:hAnsi="Lato" w:cs="Times New Roman"/>
          <w:color w:val="2D3B45"/>
          <w:kern w:val="0"/>
          <w14:ligatures w14:val="none"/>
        </w:rPr>
        <w:t xml:space="preserve">This term we will be using Piazza for class discussion. The system is highly catered to getting you help fast and efficiently from classmates, the instructor and </w:t>
      </w:r>
      <w:proofErr w:type="spellStart"/>
      <w:r w:rsidRPr="0075188C">
        <w:rPr>
          <w:rFonts w:ascii="Lato" w:eastAsia="Times New Roman" w:hAnsi="Lato" w:cs="Times New Roman"/>
          <w:color w:val="2D3B45"/>
          <w:kern w:val="0"/>
          <w14:ligatures w14:val="none"/>
        </w:rPr>
        <w:t>TAs.</w:t>
      </w:r>
      <w:proofErr w:type="spellEnd"/>
      <w:r w:rsidRPr="0075188C">
        <w:rPr>
          <w:rFonts w:ascii="Lato" w:eastAsia="Times New Roman" w:hAnsi="Lato" w:cs="Times New Roman"/>
          <w:color w:val="2D3B45"/>
          <w:kern w:val="0"/>
          <w14:ligatures w14:val="none"/>
        </w:rPr>
        <w:t>  Rather than emailing questions to the teaching staff, we encourage you to post your questions on Piazza. </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Course Assessment</w:t>
      </w:r>
      <w:r w:rsidRPr="0075188C">
        <w:rPr>
          <w:rFonts w:ascii="Lato" w:eastAsia="Times New Roman" w:hAnsi="Lato" w:cs="Times New Roman"/>
          <w:color w:val="2D3B45"/>
          <w:kern w:val="0"/>
          <w14:ligatures w14:val="none"/>
        </w:rPr>
        <w:t>:</w:t>
      </w:r>
    </w:p>
    <w:tbl>
      <w:tblPr>
        <w:tblW w:w="8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3280"/>
        <w:gridCol w:w="1300"/>
      </w:tblGrid>
      <w:tr w:rsidR="0075188C" w:rsidRPr="0075188C" w:rsidTr="0075188C">
        <w:trPr>
          <w:trHeight w:val="726"/>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 Assessment</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 Date</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 Percentage</w:t>
            </w:r>
          </w:p>
        </w:tc>
      </w:tr>
      <w:tr w:rsidR="0075188C" w:rsidRPr="0075188C" w:rsidTr="0075188C">
        <w:trPr>
          <w:trHeight w:val="726"/>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w:t>
            </w:r>
            <w:proofErr w:type="spellStart"/>
            <w:r w:rsidRPr="0075188C">
              <w:rPr>
                <w:rFonts w:ascii="Lato" w:eastAsia="Times New Roman" w:hAnsi="Lato" w:cs="Times New Roman"/>
                <w:color w:val="2D3B45"/>
                <w:kern w:val="0"/>
                <w14:ligatures w14:val="none"/>
              </w:rPr>
              <w:t>PrairieLearning</w:t>
            </w:r>
            <w:proofErr w:type="spellEnd"/>
            <w:r w:rsidRPr="0075188C">
              <w:rPr>
                <w:rFonts w:ascii="Lato" w:eastAsia="Times New Roman" w:hAnsi="Lato" w:cs="Times New Roman"/>
                <w:color w:val="2D3B45"/>
                <w:kern w:val="0"/>
                <w14:ligatures w14:val="none"/>
              </w:rPr>
              <w:t xml:space="preserve"> Homework</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Weekly (due on Saturdays)</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7% </w:t>
            </w:r>
          </w:p>
        </w:tc>
      </w:tr>
      <w:tr w:rsidR="0075188C" w:rsidRPr="0075188C" w:rsidTr="0075188C">
        <w:trPr>
          <w:trHeight w:val="726"/>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Written Assignments</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Sat Oct 19 and Sat Nov 16 </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6%</w:t>
            </w:r>
          </w:p>
        </w:tc>
      </w:tr>
      <w:tr w:rsidR="0075188C" w:rsidRPr="0075188C" w:rsidTr="0075188C">
        <w:trPr>
          <w:trHeight w:val="726"/>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Labs</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Weekly</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7%</w:t>
            </w:r>
          </w:p>
        </w:tc>
      </w:tr>
      <w:tr w:rsidR="0075188C" w:rsidRPr="0075188C" w:rsidTr="0075188C">
        <w:trPr>
          <w:trHeight w:val="726"/>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Midterm Exam</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Fri Oct 25 (in-class)</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30%</w:t>
            </w:r>
          </w:p>
        </w:tc>
      </w:tr>
      <w:tr w:rsidR="0075188C" w:rsidRPr="0075188C" w:rsidTr="0075188C">
        <w:trPr>
          <w:trHeight w:val="1089"/>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lastRenderedPageBreak/>
              <w:t> Final Exam</w:t>
            </w:r>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To be scheduled by Classroom   Services </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50%</w:t>
            </w:r>
          </w:p>
        </w:tc>
      </w:tr>
      <w:tr w:rsidR="0075188C" w:rsidRPr="0075188C" w:rsidTr="0075188C">
        <w:trPr>
          <w:trHeight w:val="647"/>
          <w:tblCellSpacing w:w="0" w:type="dxa"/>
        </w:trPr>
        <w:tc>
          <w:tcPr>
            <w:tcW w:w="4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xml:space="preserve"> (Bonus </w:t>
            </w:r>
            <w:proofErr w:type="spellStart"/>
            <w:proofErr w:type="gramStart"/>
            <w:r w:rsidRPr="0075188C">
              <w:rPr>
                <w:rFonts w:ascii="Lato" w:eastAsia="Times New Roman" w:hAnsi="Lato" w:cs="Times New Roman"/>
                <w:color w:val="2D3B45"/>
                <w:kern w:val="0"/>
                <w14:ligatures w14:val="none"/>
              </w:rPr>
              <w:t>iClicker</w:t>
            </w:r>
            <w:proofErr w:type="spellEnd"/>
            <w:r w:rsidRPr="0075188C">
              <w:rPr>
                <w:rFonts w:ascii="Lato" w:eastAsia="Times New Roman" w:hAnsi="Lato" w:cs="Times New Roman"/>
                <w:color w:val="2D3B45"/>
                <w:kern w:val="0"/>
                <w14:ligatures w14:val="none"/>
              </w:rPr>
              <w:t>)*</w:t>
            </w:r>
            <w:proofErr w:type="gramEnd"/>
          </w:p>
        </w:tc>
        <w:tc>
          <w:tcPr>
            <w:tcW w:w="33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Varying frequency each lecture</w:t>
            </w:r>
          </w:p>
        </w:tc>
        <w:tc>
          <w:tcPr>
            <w:tcW w:w="10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(2%)</w:t>
            </w:r>
          </w:p>
        </w:tc>
      </w:tr>
    </w:tbl>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xml:space="preserve">* </w:t>
      </w:r>
      <w:proofErr w:type="gramStart"/>
      <w:r w:rsidRPr="0075188C">
        <w:rPr>
          <w:rFonts w:ascii="Lato" w:eastAsia="Times New Roman" w:hAnsi="Lato" w:cs="Times New Roman"/>
          <w:color w:val="2D3B45"/>
          <w:kern w:val="0"/>
          <w14:ligatures w14:val="none"/>
        </w:rPr>
        <w:t>you</w:t>
      </w:r>
      <w:proofErr w:type="gramEnd"/>
      <w:r w:rsidRPr="0075188C">
        <w:rPr>
          <w:rFonts w:ascii="Lato" w:eastAsia="Times New Roman" w:hAnsi="Lato" w:cs="Times New Roman"/>
          <w:color w:val="2D3B45"/>
          <w:kern w:val="0"/>
          <w14:ligatures w14:val="none"/>
        </w:rPr>
        <w:t xml:space="preserve"> must attend your registered section for the </w:t>
      </w:r>
      <w:proofErr w:type="spellStart"/>
      <w:r w:rsidRPr="0075188C">
        <w:rPr>
          <w:rFonts w:ascii="Lato" w:eastAsia="Times New Roman" w:hAnsi="Lato" w:cs="Times New Roman"/>
          <w:color w:val="2D3B45"/>
          <w:kern w:val="0"/>
          <w14:ligatures w14:val="none"/>
        </w:rPr>
        <w:t>iclicker</w:t>
      </w:r>
      <w:proofErr w:type="spellEnd"/>
      <w:r w:rsidRPr="0075188C">
        <w:rPr>
          <w:rFonts w:ascii="Lato" w:eastAsia="Times New Roman" w:hAnsi="Lato" w:cs="Times New Roman"/>
          <w:color w:val="2D3B45"/>
          <w:kern w:val="0"/>
          <w14:ligatures w14:val="none"/>
        </w:rPr>
        <w:t xml:space="preserve"> bonus. As it is a </w:t>
      </w:r>
      <w:r w:rsidRPr="0075188C">
        <w:rPr>
          <w:rFonts w:ascii="Lato" w:eastAsia="Times New Roman" w:hAnsi="Lato" w:cs="Times New Roman"/>
          <w:i/>
          <w:iCs/>
          <w:color w:val="2D3B45"/>
          <w:kern w:val="0"/>
          <w14:ligatures w14:val="none"/>
        </w:rPr>
        <w:t>bonus</w:t>
      </w:r>
      <w:r w:rsidRPr="0075188C">
        <w:rPr>
          <w:rFonts w:ascii="Lato" w:eastAsia="Times New Roman" w:hAnsi="Lato" w:cs="Times New Roman"/>
          <w:color w:val="2D3B45"/>
          <w:kern w:val="0"/>
          <w14:ligatures w14:val="none"/>
        </w:rPr>
        <w:t>, there will be no concession given to missed clicker questions. And please note that the bonus cannot bring your course grade over 100%.</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Policy regarding assignment/lab deadlines: </w:t>
      </w:r>
      <w:r w:rsidRPr="0075188C">
        <w:rPr>
          <w:rFonts w:ascii="Lato" w:eastAsia="Times New Roman" w:hAnsi="Lato" w:cs="Times New Roman"/>
          <w:color w:val="2D3B45"/>
          <w:kern w:val="0"/>
          <w14:ligatures w14:val="none"/>
        </w:rPr>
        <w:t> no late submissions accepted; deadlines posted on canvas for each assignment/lab are </w:t>
      </w:r>
      <w:r w:rsidRPr="0075188C">
        <w:rPr>
          <w:rFonts w:ascii="Lato" w:eastAsia="Times New Roman" w:hAnsi="Lato" w:cs="Times New Roman"/>
          <w:b/>
          <w:bCs/>
          <w:color w:val="2D3B45"/>
          <w:kern w:val="0"/>
          <w14:ligatures w14:val="none"/>
        </w:rPr>
        <w:t>firm</w:t>
      </w:r>
      <w:r w:rsidRPr="0075188C">
        <w:rPr>
          <w:rFonts w:ascii="Lato" w:eastAsia="Times New Roman" w:hAnsi="Lato" w:cs="Times New Roman"/>
          <w:color w:val="2D3B45"/>
          <w:kern w:val="0"/>
          <w14:ligatures w14:val="none"/>
        </w:rPr>
        <w:t>.</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Policy regarding missing the midterm or final exam:                                     </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1. There will be no make-up exam.</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 xml:space="preserve">2. Students who miss an exam should notify the instructor prior to (if possible) or immediately after the exam. Students must fill out the academic concession </w:t>
      </w:r>
      <w:proofErr w:type="spellStart"/>
      <w:r w:rsidRPr="0075188C">
        <w:rPr>
          <w:rFonts w:ascii="Lato" w:eastAsia="Times New Roman" w:hAnsi="Lato" w:cs="Times New Roman"/>
          <w:color w:val="2D3B45"/>
          <w:kern w:val="0"/>
          <w14:ligatures w14:val="none"/>
        </w:rPr>
        <w:t>self declaration</w:t>
      </w:r>
      <w:proofErr w:type="spellEnd"/>
      <w:r w:rsidRPr="0075188C">
        <w:rPr>
          <w:rFonts w:ascii="Lato" w:eastAsia="Times New Roman" w:hAnsi="Lato" w:cs="Times New Roman"/>
          <w:color w:val="2D3B45"/>
          <w:kern w:val="0"/>
          <w14:ligatures w14:val="none"/>
        </w:rPr>
        <w:t xml:space="preserve"> form and submit it to the instructor within one week of the day of exam.</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Chapters to be covered</w:t>
      </w:r>
      <w:r w:rsidRPr="0075188C">
        <w:rPr>
          <w:rFonts w:ascii="Lato" w:eastAsia="Times New Roman" w:hAnsi="Lato" w:cs="Times New Roman"/>
          <w:color w:val="2D3B45"/>
          <w:kern w:val="0"/>
          <w14:ligatures w14:val="none"/>
        </w:rPr>
        <w:t>: 1-20, 22, 24</w:t>
      </w:r>
    </w:p>
    <w:p w:rsidR="0075188C" w:rsidRPr="0075188C" w:rsidRDefault="0075188C" w:rsidP="0075188C">
      <w:pPr>
        <w:spacing w:before="180" w:after="180"/>
        <w:rPr>
          <w:rFonts w:ascii="Lato" w:eastAsia="Times New Roman" w:hAnsi="Lato" w:cs="Times New Roman"/>
          <w:color w:val="2D3B45"/>
          <w:kern w:val="0"/>
          <w14:ligatures w14:val="none"/>
        </w:rPr>
      </w:pPr>
      <w:r w:rsidRPr="0075188C">
        <w:rPr>
          <w:rFonts w:ascii="Lato" w:eastAsia="Times New Roman" w:hAnsi="Lato" w:cs="Times New Roman"/>
          <w:color w:val="2D3B45"/>
          <w:kern w:val="0"/>
          <w14:ligatures w14:val="none"/>
        </w:rPr>
        <w:t>Detailed learning outcomes can be found on the course website. Refer to this document throughout the course to clarify the outcomes you are expected to attain for each section of the material.</w:t>
      </w:r>
    </w:p>
    <w:p w:rsidR="0075188C" w:rsidRPr="0075188C" w:rsidRDefault="0075188C" w:rsidP="0075188C">
      <w:pPr>
        <w:rPr>
          <w:rFonts w:ascii="Lato" w:eastAsia="Times New Roman" w:hAnsi="Lato" w:cs="Times New Roman"/>
          <w:color w:val="2D3B45"/>
          <w:kern w:val="0"/>
          <w14:ligatures w14:val="none"/>
        </w:rPr>
      </w:pPr>
      <w:r w:rsidRPr="0075188C">
        <w:rPr>
          <w:rFonts w:ascii="Lato" w:eastAsia="Times New Roman" w:hAnsi="Lato" w:cs="Times New Roman"/>
          <w:b/>
          <w:bCs/>
          <w:color w:val="2D3B45"/>
          <w:kern w:val="0"/>
          <w14:ligatures w14:val="none"/>
        </w:rPr>
        <w:t>University policies and resources to support student success:</w:t>
      </w:r>
      <w:r w:rsidRPr="0075188C">
        <w:rPr>
          <w:rFonts w:ascii="Lato" w:eastAsia="Times New Roman" w:hAnsi="Lato" w:cs="Times New Roman"/>
          <w:b/>
          <w:bCs/>
          <w:color w:val="2D3B45"/>
          <w:kern w:val="0"/>
          <w14:ligatures w14:val="none"/>
        </w:rPr>
        <w:br/>
      </w:r>
      <w:r w:rsidRPr="0075188C">
        <w:rPr>
          <w:rFonts w:ascii="Lato" w:eastAsia="Times New Roman" w:hAnsi="Lato" w:cs="Times New Roman"/>
          <w:color w:val="2D3B45"/>
          <w:kern w:val="0"/>
          <w14:ligatures w14:val="none"/>
        </w:rPr>
        <w:t>UBC provides resources to support student learning and to maintain healthy lifestyles but recognizes that sometimes crises arise, so there are additional resources to access, including those for survivors of sexual violence. UBC values respect for the person and ideas of all members of the academic community. Harassment and discrimination are not tolerated, nor is suppression of academic freedom. UBC provides appropriate accommodation for students with disabilities and for religious and cultural observances. UBC values academic honesty, and students are expected to acknowledge the ideas generated by others and to uphold the highest academic standards in all of their actions. Details of the policies and how to access support are available at </w:t>
      </w:r>
      <w:hyperlink r:id="rId4" w:tgtFrame="_blank" w:history="1">
        <w:r w:rsidRPr="0075188C">
          <w:rPr>
            <w:rFonts w:ascii="Lato" w:eastAsia="Times New Roman" w:hAnsi="Lato" w:cs="Times New Roman"/>
            <w:color w:val="0000FF"/>
            <w:kern w:val="0"/>
            <w:u w:val="single"/>
            <w14:ligatures w14:val="none"/>
          </w:rPr>
          <w:t>https://senate.ubc.ca/policies-resources-support-student-success</w:t>
        </w:r>
        <w:r w:rsidRPr="0075188C">
          <w:rPr>
            <w:rFonts w:ascii="Lato" w:eastAsia="Times New Roman" w:hAnsi="Lato" w:cs="Times New Roman"/>
            <w:color w:val="0000FF"/>
            <w:kern w:val="0"/>
            <w:u w:val="single"/>
            <w:bdr w:val="none" w:sz="0" w:space="0" w:color="auto" w:frame="1"/>
            <w14:ligatures w14:val="none"/>
          </w:rPr>
          <w:t>Links to an external site.</w:t>
        </w:r>
      </w:hyperlink>
    </w:p>
    <w:p w:rsidR="0075188C" w:rsidRPr="0075188C" w:rsidRDefault="0075188C" w:rsidP="0075188C">
      <w:pPr>
        <w:rPr>
          <w:rFonts w:ascii="Times New Roman" w:eastAsia="Times New Roman" w:hAnsi="Times New Roman" w:cs="Times New Roman"/>
          <w:kern w:val="0"/>
          <w14:ligatures w14:val="none"/>
        </w:rPr>
      </w:pPr>
    </w:p>
    <w:p w:rsidR="00E00DC4" w:rsidRDefault="00E00DC4"/>
    <w:sectPr w:rsidR="00E00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8C"/>
    <w:rsid w:val="0075188C"/>
    <w:rsid w:val="008B0D5E"/>
    <w:rsid w:val="00E00DC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DD8D3C"/>
  <w15:chartTrackingRefBased/>
  <w15:docId w15:val="{2EC73BA3-53D7-C544-8354-8D18355B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188C"/>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88C"/>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5188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5188C"/>
    <w:rPr>
      <w:b/>
      <w:bCs/>
    </w:rPr>
  </w:style>
  <w:style w:type="paragraph" w:customStyle="1" w:styleId="bottommargin">
    <w:name w:val="bottommargin"/>
    <w:basedOn w:val="Normal"/>
    <w:rsid w:val="0075188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75188C"/>
  </w:style>
  <w:style w:type="character" w:styleId="Emphasis">
    <w:name w:val="Emphasis"/>
    <w:basedOn w:val="DefaultParagraphFont"/>
    <w:uiPriority w:val="20"/>
    <w:qFormat/>
    <w:rsid w:val="0075188C"/>
    <w:rPr>
      <w:i/>
      <w:iCs/>
    </w:rPr>
  </w:style>
  <w:style w:type="character" w:styleId="Hyperlink">
    <w:name w:val="Hyperlink"/>
    <w:basedOn w:val="DefaultParagraphFont"/>
    <w:uiPriority w:val="99"/>
    <w:semiHidden/>
    <w:unhideWhenUsed/>
    <w:rsid w:val="0075188C"/>
    <w:rPr>
      <w:color w:val="0000FF"/>
      <w:u w:val="single"/>
    </w:rPr>
  </w:style>
  <w:style w:type="character" w:customStyle="1" w:styleId="screenreader-only">
    <w:name w:val="screenreader-only"/>
    <w:basedOn w:val="DefaultParagraphFont"/>
    <w:rsid w:val="0075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8254">
      <w:bodyDiv w:val="1"/>
      <w:marLeft w:val="0"/>
      <w:marRight w:val="0"/>
      <w:marTop w:val="0"/>
      <w:marBottom w:val="0"/>
      <w:divBdr>
        <w:top w:val="none" w:sz="0" w:space="0" w:color="auto"/>
        <w:left w:val="none" w:sz="0" w:space="0" w:color="auto"/>
        <w:bottom w:val="none" w:sz="0" w:space="0" w:color="auto"/>
        <w:right w:val="none" w:sz="0" w:space="0" w:color="auto"/>
      </w:divBdr>
    </w:div>
    <w:div w:id="1466194925">
      <w:bodyDiv w:val="1"/>
      <w:marLeft w:val="0"/>
      <w:marRight w:val="0"/>
      <w:marTop w:val="0"/>
      <w:marBottom w:val="0"/>
      <w:divBdr>
        <w:top w:val="none" w:sz="0" w:space="0" w:color="auto"/>
        <w:left w:val="none" w:sz="0" w:space="0" w:color="auto"/>
        <w:bottom w:val="none" w:sz="0" w:space="0" w:color="auto"/>
        <w:right w:val="none" w:sz="0" w:space="0" w:color="auto"/>
      </w:divBdr>
    </w:div>
    <w:div w:id="21199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nate.ubc.ca/policies-resources-support-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Meng</dc:creator>
  <cp:keywords/>
  <dc:description/>
  <cp:lastModifiedBy>Vivian Meng</cp:lastModifiedBy>
  <cp:revision>1</cp:revision>
  <dcterms:created xsi:type="dcterms:W3CDTF">2024-08-29T17:03:00Z</dcterms:created>
  <dcterms:modified xsi:type="dcterms:W3CDTF">2024-08-29T17:05:00Z</dcterms:modified>
</cp:coreProperties>
</file>