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w:spacing w:after="380"/>
        <w:jc w:val="center"/>
        <w:rPr>
          <w:caps w:val="1"/>
          <w:sz w:val="16"/>
          <w:szCs w:val="16"/>
        </w:rPr>
      </w:pPr>
    </w:p>
    <w:tbl>
      <w:tblPr>
        <w:tblW w:w="10384"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56"/>
        <w:gridCol w:w="2264"/>
        <w:gridCol w:w="2177"/>
        <w:gridCol w:w="2287"/>
      </w:tblGrid>
      <w:tr>
        <w:tblPrEx>
          <w:shd w:val="clear" w:color="auto" w:fill="ced7e7"/>
        </w:tblPrEx>
        <w:trPr>
          <w:trHeight w:val="699" w:hRule="atLeast"/>
        </w:trPr>
        <w:tc>
          <w:tcPr>
            <w:tcW w:type="dxa" w:w="365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header"/>
              <w:rPr>
                <w:sz w:val="10"/>
                <w:szCs w:val="10"/>
                <w:shd w:val="nil" w:color="auto" w:fill="auto"/>
                <w:lang w:val="en-US"/>
              </w:rPr>
            </w:pPr>
          </w:p>
          <w:p>
            <w:pPr>
              <w:pStyle w:val="header"/>
              <w:bidi w:val="0"/>
              <w:ind w:left="0" w:right="0" w:firstLine="0"/>
              <w:jc w:val="left"/>
              <w:rPr>
                <w:rtl w:val="0"/>
              </w:rPr>
            </w:pPr>
            <w:r>
              <w:rPr>
                <w:shd w:val="nil" w:color="auto" w:fill="auto"/>
                <w:lang w:val="en-US"/>
              </w:rPr>
              <w:drawing xmlns:a="http://schemas.openxmlformats.org/drawingml/2006/main">
                <wp:inline distT="0" distB="0" distL="0" distR="0">
                  <wp:extent cx="1909337" cy="288622"/>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909337" cy="288622"/>
                          </a:xfrm>
                          <a:prstGeom prst="rect">
                            <a:avLst/>
                          </a:prstGeom>
                          <a:ln w="12700" cap="flat">
                            <a:noFill/>
                            <a:miter lim="400000"/>
                          </a:ln>
                          <a:effectLst/>
                        </pic:spPr>
                      </pic:pic>
                    </a:graphicData>
                  </a:graphic>
                </wp:inline>
              </w:drawing>
            </w:r>
          </w:p>
        </w:tc>
        <w:tc>
          <w:tcPr>
            <w:tcW w:type="dxa" w:w="226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header"/>
              <w:rPr>
                <w:rFonts w:ascii="Arial" w:cs="Arial" w:hAnsi="Arial" w:eastAsia="Arial"/>
                <w:b w:val="1"/>
                <w:bCs w:val="1"/>
                <w:sz w:val="18"/>
                <w:szCs w:val="18"/>
                <w:shd w:val="nil" w:color="auto" w:fill="auto"/>
              </w:rPr>
            </w:pPr>
            <w:r>
              <w:rPr>
                <w:rFonts w:ascii="Arial" w:hAnsi="Arial"/>
                <w:b w:val="1"/>
                <w:bCs w:val="1"/>
                <w:sz w:val="18"/>
                <w:szCs w:val="18"/>
                <w:shd w:val="nil" w:color="auto" w:fill="auto"/>
                <w:rtl w:val="0"/>
                <w:lang w:val="en-US"/>
              </w:rPr>
              <w:t>Department of Statistics</w:t>
            </w:r>
          </w:p>
          <w:p>
            <w:pPr>
              <w:pStyle w:val="header"/>
              <w:bidi w:val="0"/>
              <w:ind w:left="0" w:right="0" w:firstLine="0"/>
              <w:jc w:val="left"/>
              <w:rPr>
                <w:rtl w:val="0"/>
              </w:rPr>
            </w:pPr>
            <w:r>
              <w:rPr>
                <w:rFonts w:ascii="Arial" w:hAnsi="Arial"/>
                <w:sz w:val="16"/>
                <w:szCs w:val="16"/>
                <w:shd w:val="nil" w:color="auto" w:fill="auto"/>
                <w:rtl w:val="0"/>
                <w:lang w:val="en-US"/>
              </w:rPr>
              <w:t xml:space="preserve">Website : </w:t>
            </w:r>
            <w:r>
              <w:rPr>
                <w:rStyle w:val="Hyperlink.0"/>
                <w:rFonts w:ascii="Arial" w:cs="Arial" w:hAnsi="Arial" w:eastAsia="Arial"/>
                <w:outline w:val="0"/>
                <w:color w:val="0000ff"/>
                <w:sz w:val="16"/>
                <w:szCs w:val="16"/>
                <w:u w:val="single" w:color="0000ff"/>
                <w:shd w:val="nil" w:color="auto" w:fill="auto"/>
                <w:lang w:val="en-US"/>
                <w14:textFill>
                  <w14:solidFill>
                    <w14:srgbClr w14:val="0000FF"/>
                  </w14:solidFill>
                </w14:textFill>
              </w:rPr>
              <w:fldChar w:fldCharType="begin" w:fldLock="0"/>
            </w:r>
            <w:r>
              <w:rPr>
                <w:rStyle w:val="Hyperlink.0"/>
                <w:rFonts w:ascii="Arial" w:cs="Arial" w:hAnsi="Arial" w:eastAsia="Arial"/>
                <w:outline w:val="0"/>
                <w:color w:val="0000ff"/>
                <w:sz w:val="16"/>
                <w:szCs w:val="16"/>
                <w:u w:val="single" w:color="0000ff"/>
                <w:shd w:val="nil" w:color="auto" w:fill="auto"/>
                <w:lang w:val="en-US"/>
                <w14:textFill>
                  <w14:solidFill>
                    <w14:srgbClr w14:val="0000FF"/>
                  </w14:solidFill>
                </w14:textFill>
              </w:rPr>
              <w:instrText xml:space="preserve"> HYPERLINK "http://www.stat.ubc.ca"</w:instrText>
            </w:r>
            <w:r>
              <w:rPr>
                <w:rStyle w:val="Hyperlink.0"/>
                <w:rFonts w:ascii="Arial" w:cs="Arial" w:hAnsi="Arial" w:eastAsia="Arial"/>
                <w:outline w:val="0"/>
                <w:color w:val="0000ff"/>
                <w:sz w:val="16"/>
                <w:szCs w:val="16"/>
                <w:u w:val="single" w:color="0000ff"/>
                <w:shd w:val="nil" w:color="auto" w:fill="auto"/>
                <w:lang w:val="en-US"/>
                <w14:textFill>
                  <w14:solidFill>
                    <w14:srgbClr w14:val="0000FF"/>
                  </w14:solidFill>
                </w14:textFill>
              </w:rPr>
              <w:fldChar w:fldCharType="separate" w:fldLock="0"/>
            </w:r>
            <w:r>
              <w:rPr>
                <w:rStyle w:val="Hyperlink.0"/>
                <w:rFonts w:ascii="Arial" w:hAnsi="Arial"/>
                <w:outline w:val="0"/>
                <w:color w:val="0000ff"/>
                <w:sz w:val="16"/>
                <w:szCs w:val="16"/>
                <w:u w:val="single" w:color="0000ff"/>
                <w:shd w:val="nil" w:color="auto" w:fill="auto"/>
                <w:rtl w:val="0"/>
                <w:lang w:val="en-US"/>
                <w14:textFill>
                  <w14:solidFill>
                    <w14:srgbClr w14:val="0000FF"/>
                  </w14:solidFill>
                </w14:textFill>
              </w:rPr>
              <w:t>www.stat.ubc.ca</w:t>
            </w:r>
            <w:r>
              <w:rPr>
                <w:rFonts w:ascii="Arial" w:cs="Arial" w:hAnsi="Arial" w:eastAsia="Arial"/>
                <w:sz w:val="16"/>
                <w:szCs w:val="16"/>
              </w:rPr>
              <w:fldChar w:fldCharType="end" w:fldLock="0"/>
            </w:r>
            <w:r>
              <w:rPr>
                <w:rStyle w:val="None"/>
                <w:rFonts w:ascii="Arial" w:cs="Arial" w:hAnsi="Arial" w:eastAsia="Arial"/>
                <w:sz w:val="16"/>
                <w:szCs w:val="16"/>
                <w:shd w:val="nil" w:color="auto" w:fill="auto"/>
              </w:rPr>
            </w:r>
          </w:p>
        </w:tc>
        <w:tc>
          <w:tcPr>
            <w:tcW w:type="dxa" w:w="217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header"/>
              <w:rPr>
                <w:rStyle w:val="None"/>
                <w:rFonts w:ascii="Arial" w:cs="Arial" w:hAnsi="Arial" w:eastAsia="Arial"/>
                <w:b w:val="1"/>
                <w:bCs w:val="1"/>
                <w:sz w:val="16"/>
                <w:szCs w:val="16"/>
                <w:shd w:val="nil" w:color="auto" w:fill="auto"/>
              </w:rPr>
            </w:pPr>
            <w:r>
              <w:rPr>
                <w:rStyle w:val="None"/>
                <w:rFonts w:ascii="Arial" w:hAnsi="Arial"/>
                <w:b w:val="0"/>
                <w:bCs w:val="0"/>
                <w:sz w:val="16"/>
                <w:szCs w:val="16"/>
                <w:shd w:val="nil" w:color="auto" w:fill="auto"/>
                <w:rtl w:val="0"/>
                <w:lang w:val="en-US"/>
              </w:rPr>
              <w:t>3182 Earth Sciences Bldg</w:t>
            </w:r>
          </w:p>
          <w:p>
            <w:pPr>
              <w:pStyle w:val="header"/>
              <w:bidi w:val="0"/>
              <w:ind w:left="0" w:right="0" w:firstLine="0"/>
              <w:jc w:val="left"/>
              <w:rPr>
                <w:rStyle w:val="None"/>
                <w:rFonts w:ascii="Arial" w:cs="Arial" w:hAnsi="Arial" w:eastAsia="Arial"/>
                <w:sz w:val="16"/>
                <w:szCs w:val="16"/>
                <w:shd w:val="nil" w:color="auto" w:fill="auto"/>
                <w:rtl w:val="0"/>
              </w:rPr>
            </w:pPr>
            <w:r>
              <w:rPr>
                <w:rStyle w:val="None"/>
                <w:rFonts w:ascii="Arial" w:hAnsi="Arial"/>
                <w:sz w:val="16"/>
                <w:szCs w:val="16"/>
                <w:shd w:val="nil" w:color="auto" w:fill="auto"/>
                <w:rtl w:val="0"/>
                <w:lang w:val="en-US"/>
              </w:rPr>
              <w:t xml:space="preserve">2207 Main Mall </w:t>
            </w:r>
          </w:p>
          <w:p>
            <w:pPr>
              <w:pStyle w:val="header"/>
              <w:bidi w:val="0"/>
              <w:ind w:left="0" w:right="0" w:firstLine="0"/>
              <w:jc w:val="left"/>
              <w:rPr>
                <w:rtl w:val="0"/>
              </w:rPr>
            </w:pPr>
            <w:r>
              <w:rPr>
                <w:rStyle w:val="None"/>
                <w:rFonts w:ascii="Arial" w:hAnsi="Arial"/>
                <w:sz w:val="16"/>
                <w:szCs w:val="16"/>
                <w:shd w:val="nil" w:color="auto" w:fill="auto"/>
                <w:rtl w:val="0"/>
                <w:lang w:val="en-US"/>
              </w:rPr>
              <w:t>Vancouver, BC  V6T 1Z4</w:t>
            </w:r>
          </w:p>
        </w:tc>
        <w:tc>
          <w:tcPr>
            <w:tcW w:type="dxa" w:w="228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header"/>
              <w:rPr>
                <w:rStyle w:val="None"/>
                <w:rFonts w:ascii="Arial" w:cs="Arial" w:hAnsi="Arial" w:eastAsia="Arial"/>
                <w:spacing w:val="80"/>
                <w:sz w:val="16"/>
                <w:szCs w:val="16"/>
                <w:shd w:val="nil" w:color="auto" w:fill="auto"/>
              </w:rPr>
            </w:pPr>
            <w:r>
              <w:rPr>
                <w:rStyle w:val="None"/>
                <w:rFonts w:ascii="Arial" w:hAnsi="Arial"/>
                <w:spacing w:val="0"/>
                <w:sz w:val="16"/>
                <w:szCs w:val="16"/>
                <w:shd w:val="nil" w:color="auto" w:fill="auto"/>
                <w:rtl w:val="0"/>
                <w:lang w:val="en-US"/>
              </w:rPr>
              <w:t>Telephone: (604)822-0570</w:t>
            </w:r>
          </w:p>
          <w:p>
            <w:pPr>
              <w:pStyle w:val="header"/>
              <w:bidi w:val="0"/>
              <w:ind w:left="0" w:right="0" w:firstLine="0"/>
              <w:jc w:val="left"/>
              <w:rPr>
                <w:rtl w:val="0"/>
              </w:rPr>
            </w:pPr>
            <w:r>
              <w:rPr>
                <w:rStyle w:val="None"/>
                <w:rFonts w:ascii="Arial" w:hAnsi="Arial"/>
                <w:sz w:val="16"/>
                <w:szCs w:val="16"/>
                <w:shd w:val="nil" w:color="auto" w:fill="auto"/>
                <w:rtl w:val="0"/>
                <w:lang w:val="en-US"/>
              </w:rPr>
              <w:t>Facsimile: (604) 822-6960</w:t>
            </w:r>
          </w:p>
        </w:tc>
      </w:tr>
    </w:tbl>
    <w:p>
      <w:pPr>
        <w:pStyle w:val="header"/>
        <w:widowControl w:val="0"/>
        <w:spacing w:after="380"/>
        <w:ind w:left="108" w:hanging="108"/>
        <w:jc w:val="center"/>
        <w:rPr>
          <w:rStyle w:val="None"/>
          <w:caps w:val="1"/>
          <w:sz w:val="16"/>
          <w:szCs w:val="16"/>
        </w:rPr>
      </w:pPr>
    </w:p>
    <w:p>
      <w:pPr>
        <w:pStyle w:val="header"/>
        <w:widowControl w:val="0"/>
        <w:spacing w:after="380"/>
        <w:jc w:val="center"/>
        <w:rPr>
          <w:rStyle w:val="None"/>
          <w:caps w:val="1"/>
          <w:sz w:val="16"/>
          <w:szCs w:val="16"/>
        </w:rPr>
      </w:pPr>
    </w:p>
    <w:p>
      <w:pPr>
        <w:pStyle w:val="Body A"/>
        <w:spacing w:after="380"/>
        <w:rPr>
          <w:rStyle w:val="None A"/>
          <w:sz w:val="22"/>
          <w:szCs w:val="22"/>
        </w:rPr>
      </w:pPr>
    </w:p>
    <w:p>
      <w:pPr>
        <w:pStyle w:val="Body A"/>
        <w:spacing w:after="380"/>
        <w:jc w:val="center"/>
        <w:rPr>
          <w:rStyle w:val="None"/>
          <w:b w:val="1"/>
          <w:bCs w:val="1"/>
          <w:sz w:val="28"/>
          <w:szCs w:val="28"/>
        </w:rPr>
      </w:pPr>
      <w:r>
        <w:rPr>
          <w:rStyle w:val="None"/>
          <w:b w:val="1"/>
          <w:bCs w:val="1"/>
          <w:sz w:val="28"/>
          <w:szCs w:val="28"/>
          <w:rtl w:val="0"/>
          <w:lang w:val="en-US"/>
        </w:rPr>
        <w:t>STAT 547Q</w:t>
      </w:r>
      <w:r>
        <w:rPr>
          <w:rStyle w:val="None"/>
          <w:b w:val="1"/>
          <w:bCs w:val="1"/>
          <w:sz w:val="28"/>
          <w:szCs w:val="28"/>
          <w:rtl w:val="0"/>
        </w:rPr>
        <w:t>,</w:t>
      </w:r>
      <w:r>
        <w:rPr>
          <w:rStyle w:val="None"/>
          <w:b w:val="1"/>
          <w:bCs w:val="1"/>
          <w:sz w:val="28"/>
          <w:szCs w:val="28"/>
          <w:rtl w:val="0"/>
          <w:lang w:val="en-US"/>
        </w:rPr>
        <w:t xml:space="preserve"> Special Topics</w:t>
      </w:r>
      <w:r>
        <w:rPr>
          <w:rStyle w:val="None"/>
          <w:b w:val="1"/>
          <w:bCs w:val="1"/>
          <w:sz w:val="28"/>
          <w:szCs w:val="28"/>
          <w:rtl w:val="0"/>
        </w:rPr>
        <w:t xml:space="preserve"> </w:t>
      </w:r>
    </w:p>
    <w:p>
      <w:pPr>
        <w:pStyle w:val="Body A"/>
        <w:spacing w:after="380"/>
        <w:jc w:val="center"/>
        <w:rPr>
          <w:rStyle w:val="None"/>
          <w:b w:val="1"/>
          <w:bCs w:val="1"/>
          <w:sz w:val="28"/>
          <w:szCs w:val="28"/>
        </w:rPr>
      </w:pPr>
      <w:r>
        <w:rPr>
          <w:rStyle w:val="None"/>
          <w:b w:val="1"/>
          <w:bCs w:val="1"/>
          <w:sz w:val="28"/>
          <w:szCs w:val="28"/>
          <w:rtl w:val="0"/>
          <w:lang w:val="en-US"/>
        </w:rPr>
        <w:t>Gaussian and Empirical Process Theory for High-dimensional Data</w:t>
      </w:r>
    </w:p>
    <w:p>
      <w:pPr>
        <w:pStyle w:val="Body A"/>
        <w:spacing w:after="380"/>
        <w:jc w:val="center"/>
        <w:rPr>
          <w:rStyle w:val="None"/>
          <w:b w:val="1"/>
          <w:bCs w:val="1"/>
          <w:sz w:val="28"/>
          <w:szCs w:val="28"/>
        </w:rPr>
      </w:pPr>
      <w:r>
        <w:rPr>
          <w:rStyle w:val="None"/>
          <w:b w:val="1"/>
          <w:bCs w:val="1"/>
          <w:sz w:val="28"/>
          <w:szCs w:val="28"/>
          <w:rtl w:val="0"/>
        </w:rPr>
        <w:t xml:space="preserve"> </w:t>
      </w:r>
      <w:r>
        <w:rPr>
          <w:rStyle w:val="None"/>
          <w:b w:val="1"/>
          <w:bCs w:val="1"/>
          <w:sz w:val="28"/>
          <w:szCs w:val="28"/>
          <w:rtl w:val="0"/>
          <w:lang w:val="en-US"/>
        </w:rPr>
        <w:t>2023, Term 2 (Approximate)</w:t>
      </w:r>
    </w:p>
    <w:p>
      <w:pPr>
        <w:pStyle w:val="Body A"/>
        <w:spacing w:after="380"/>
        <w:jc w:val="center"/>
        <w:rPr>
          <w:rStyle w:val="None"/>
          <w:b w:val="1"/>
          <w:bCs w:val="1"/>
          <w:sz w:val="28"/>
          <w:szCs w:val="28"/>
          <w:lang w:val="de-DE"/>
        </w:rPr>
      </w:pPr>
      <w:r>
        <w:rPr>
          <w:rStyle w:val="None"/>
          <w:b w:val="1"/>
          <w:bCs w:val="1"/>
          <w:sz w:val="28"/>
          <w:szCs w:val="28"/>
          <w:rtl w:val="0"/>
          <w:lang w:val="es-ES_tradnl"/>
        </w:rPr>
        <w:t xml:space="preserve">Instructor: </w:t>
      </w:r>
      <w:r>
        <w:rPr>
          <w:rStyle w:val="None"/>
          <w:b w:val="1"/>
          <w:bCs w:val="1"/>
          <w:sz w:val="28"/>
          <w:szCs w:val="28"/>
          <w:rtl w:val="0"/>
          <w:lang w:val="de-DE"/>
        </w:rPr>
        <w:t>Alexander Giessing, Ph.D.</w:t>
      </w:r>
    </w:p>
    <w:p>
      <w:pPr>
        <w:pStyle w:val="Body A"/>
        <w:spacing w:after="380"/>
        <w:jc w:val="center"/>
        <w:rPr>
          <w:rStyle w:val="None"/>
          <w:b w:val="1"/>
          <w:bCs w:val="1"/>
          <w:sz w:val="28"/>
          <w:szCs w:val="28"/>
        </w:rPr>
      </w:pPr>
      <w:r>
        <w:rPr>
          <w:rStyle w:val="None"/>
          <w:b w:val="1"/>
          <w:bCs w:val="1"/>
          <w:sz w:val="28"/>
          <w:szCs w:val="28"/>
          <w:rtl w:val="0"/>
          <w:lang w:val="en-US"/>
        </w:rPr>
        <w:t>UBC statistics department coordinator: Jiahua Chen</w:t>
      </w:r>
    </w:p>
    <w:p>
      <w:pPr>
        <w:pStyle w:val="Default"/>
        <w:spacing w:before="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Acting Assistant Professor</w:t>
      </w:r>
    </w:p>
    <w:p>
      <w:pPr>
        <w:pStyle w:val="Default"/>
        <w:spacing w:before="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Department of Statistics</w:t>
      </w:r>
    </w:p>
    <w:p>
      <w:pPr>
        <w:pStyle w:val="Default"/>
        <w:spacing w:before="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University of Washington</w:t>
      </w:r>
    </w:p>
    <w:p>
      <w:pPr>
        <w:pStyle w:val="Default"/>
        <w:spacing w:before="0" w:line="240" w:lineRule="auto"/>
        <w:rPr>
          <w:rStyle w:val="None"/>
          <w:rFonts w:ascii="Times New Roman" w:cs="Times New Roman" w:hAnsi="Times New Roman" w:eastAsia="Times New Roman"/>
          <w:sz w:val="36"/>
          <w:szCs w:val="36"/>
        </w:rPr>
      </w:pPr>
    </w:p>
    <w:p>
      <w:pPr>
        <w:pStyle w:val="Body A"/>
        <w:spacing w:after="380"/>
      </w:pPr>
      <w:r>
        <w:rPr>
          <w:rStyle w:val="None"/>
          <w:b w:val="1"/>
          <w:bCs w:val="1"/>
          <w:rtl w:val="0"/>
          <w:lang w:val="en-US"/>
        </w:rPr>
        <w:t>Time and Place: To be finalized. March 27, 2023 - June 9</w:t>
      </w:r>
      <w:r>
        <w:rPr>
          <w:rStyle w:val="None"/>
          <w:b w:val="1"/>
          <w:bCs w:val="1"/>
          <w:rtl w:val="0"/>
        </w:rPr>
        <w:t>, 2023</w:t>
      </w:r>
      <w:r>
        <w:rPr>
          <w:rStyle w:val="None"/>
          <w:b w:val="1"/>
          <w:bCs w:val="1"/>
          <w:rtl w:val="0"/>
          <w:lang w:val="en-US"/>
        </w:rPr>
        <w:t>, On Zoom</w:t>
      </w:r>
    </w:p>
    <w:p>
      <w:pPr>
        <w:pStyle w:val="Body A"/>
        <w:spacing w:after="60" w:line="288" w:lineRule="auto"/>
        <w:jc w:val="both"/>
        <w:rPr>
          <w:rStyle w:val="None"/>
          <w:sz w:val="26"/>
          <w:szCs w:val="26"/>
        </w:rPr>
      </w:pPr>
      <w:r>
        <w:rPr>
          <w:rStyle w:val="None"/>
          <w:b w:val="1"/>
          <w:bCs w:val="1"/>
          <w:sz w:val="26"/>
          <w:szCs w:val="26"/>
          <w:rtl w:val="0"/>
          <w:lang w:val="en-US"/>
        </w:rPr>
        <w:t xml:space="preserve">Description: </w:t>
      </w:r>
      <w:r>
        <w:rPr>
          <w:rStyle w:val="None"/>
          <w:sz w:val="26"/>
          <w:szCs w:val="26"/>
          <w:rtl w:val="0"/>
          <w:lang w:val="en-US"/>
        </w:rPr>
        <w:t>In this course we develop elements of the theory of Gaussian and empirical processes that have proved useful for statistical inference in high-dimensional models, i.e. statistical models in which the number of parameters is much larger than the sample size. The course consists of three parts, with the first two parts laying the foundation for the third one: an introduction to modern techniques in Gaussian processes, a recap of classical empirical process theory emphasizing weak convergence on metric spaces, and lastly, a discussion of Gaussian approximation, high-dimensional CLTs, and the conditional multiplier bootstrap. Typed lecture notes of all three parts will be provided.</w:t>
      </w:r>
    </w:p>
    <w:p>
      <w:pPr>
        <w:pStyle w:val="Body A"/>
        <w:spacing w:after="60" w:line="288" w:lineRule="auto"/>
        <w:jc w:val="both"/>
        <w:rPr>
          <w:rStyle w:val="None A"/>
          <w:sz w:val="26"/>
          <w:szCs w:val="26"/>
        </w:rPr>
      </w:pPr>
    </w:p>
    <w:p>
      <w:pPr>
        <w:pStyle w:val="Body A"/>
        <w:spacing w:after="380" w:line="288" w:lineRule="auto"/>
        <w:rPr>
          <w:rStyle w:val="None"/>
          <w:sz w:val="26"/>
          <w:szCs w:val="26"/>
        </w:rPr>
      </w:pPr>
      <w:r>
        <w:rPr>
          <w:rStyle w:val="None"/>
          <w:b w:val="1"/>
          <w:bCs w:val="1"/>
          <w:sz w:val="26"/>
          <w:szCs w:val="26"/>
          <w:rtl w:val="0"/>
          <w:lang w:val="en-US"/>
        </w:rPr>
        <w:t>Prerequisites</w:t>
      </w:r>
      <w:r>
        <w:rPr>
          <w:rStyle w:val="None"/>
          <w:sz w:val="26"/>
          <w:szCs w:val="26"/>
          <w:rtl w:val="0"/>
          <w:lang w:val="en-US"/>
        </w:rPr>
        <w:t xml:space="preserve">: The course assumes that the students have taken PhD level classes in advanced theoretical statistics comparable to STAT 581, 582, 583 at University of Washington (see also </w:t>
      </w:r>
      <w:r>
        <w:rPr>
          <w:rStyle w:val="Hyperlink.1"/>
        </w:rPr>
        <w:fldChar w:fldCharType="begin" w:fldLock="0"/>
      </w:r>
      <w:r>
        <w:rPr>
          <w:rStyle w:val="Hyperlink.1"/>
        </w:rPr>
        <w:instrText xml:space="preserve"> HYPERLINK "https://www.washington.edu/students/crscat/stat.html"</w:instrText>
      </w:r>
      <w:r>
        <w:rPr>
          <w:rStyle w:val="Hyperlink.1"/>
        </w:rPr>
        <w:fldChar w:fldCharType="separate" w:fldLock="0"/>
      </w:r>
      <w:r>
        <w:rPr>
          <w:rStyle w:val="Hyperlink.1"/>
          <w:rtl w:val="0"/>
          <w:lang w:val="en-US"/>
        </w:rPr>
        <w:t>https://www.washington.edu/students/crscat/stat.html</w:t>
      </w:r>
      <w:r>
        <w:rPr/>
        <w:fldChar w:fldCharType="end" w:fldLock="0"/>
      </w:r>
      <w:r>
        <w:rPr>
          <w:rStyle w:val="None"/>
          <w:sz w:val="26"/>
          <w:szCs w:val="26"/>
          <w:rtl w:val="0"/>
          <w:lang w:val="en-US"/>
        </w:rPr>
        <w:t>). Knowledge of measure theoretic probability will be helpful, too. UBC remark: our Stat 560, 561 and 547C are necessary and likely not sufficient.</w:t>
      </w:r>
    </w:p>
    <w:p>
      <w:pPr>
        <w:pStyle w:val="Body A"/>
        <w:spacing w:after="380"/>
        <w:rPr>
          <w:rStyle w:val="None A"/>
        </w:rPr>
      </w:pPr>
      <w:r>
        <w:rPr>
          <w:rStyle w:val="None"/>
          <w:b w:val="1"/>
          <w:bCs w:val="1"/>
          <w:rtl w:val="0"/>
          <w:lang w:val="en-US"/>
        </w:rPr>
        <w:t xml:space="preserve">Textbook/course material: </w:t>
      </w:r>
    </w:p>
    <w:p>
      <w:pPr>
        <w:pStyle w:val="Default"/>
        <w:spacing w:before="0" w:after="360" w:line="240" w:lineRule="auto"/>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Dudley, R. M. (2014). "Uniform Central Limit Theorems". Cambridge University Press.</w:t>
      </w:r>
    </w:p>
    <w:p>
      <w:pPr>
        <w:pStyle w:val="Default"/>
        <w:spacing w:before="0" w:after="360" w:line="240" w:lineRule="auto"/>
        <w:rPr>
          <w:rStyle w:val="None"/>
          <w:rFonts w:ascii="Times New Roman" w:cs="Times New Roman" w:hAnsi="Times New Roman" w:eastAsia="Times New Roman"/>
          <w:sz w:val="26"/>
          <w:szCs w:val="26"/>
        </w:rPr>
      </w:pPr>
      <w:r>
        <w:rPr>
          <w:rStyle w:val="None"/>
          <w:rFonts w:ascii="Times New Roman" w:hAnsi="Times New Roman"/>
          <w:sz w:val="26"/>
          <w:szCs w:val="26"/>
          <w:rtl w:val="0"/>
          <w:lang w:val="it-IT"/>
        </w:rPr>
        <w:t>Gin</w:t>
      </w:r>
      <w:r>
        <w:rPr>
          <w:rStyle w:val="None"/>
          <w:rFonts w:ascii="Times New Roman" w:hAnsi="Times New Roman" w:hint="default"/>
          <w:sz w:val="26"/>
          <w:szCs w:val="26"/>
          <w:rtl w:val="0"/>
          <w:lang w:val="fr-FR"/>
        </w:rPr>
        <w:t>é</w:t>
      </w:r>
      <w:r>
        <w:rPr>
          <w:rStyle w:val="None"/>
          <w:rFonts w:ascii="Times New Roman" w:hAnsi="Times New Roman"/>
          <w:sz w:val="26"/>
          <w:szCs w:val="26"/>
          <w:rtl w:val="0"/>
          <w:lang w:val="en-US"/>
        </w:rPr>
        <w:t>, E. and Nickl, R. (2016). "Mathematical Foundations of Infinite-Dimensional Statistical Models". Cambridge University Press.</w:t>
      </w:r>
    </w:p>
    <w:p>
      <w:pPr>
        <w:pStyle w:val="Default"/>
        <w:spacing w:before="0" w:after="360" w:line="240" w:lineRule="auto"/>
        <w:rPr>
          <w:rStyle w:val="None"/>
          <w:rFonts w:ascii="Times New Roman" w:cs="Times New Roman" w:hAnsi="Times New Roman" w:eastAsia="Times New Roman"/>
          <w:sz w:val="26"/>
          <w:szCs w:val="26"/>
          <w:lang w:val="nl-NL"/>
        </w:rPr>
      </w:pPr>
      <w:r>
        <w:rPr>
          <w:rStyle w:val="None"/>
          <w:rFonts w:ascii="Times New Roman" w:hAnsi="Times New Roman"/>
          <w:sz w:val="26"/>
          <w:szCs w:val="26"/>
          <w:rtl w:val="0"/>
          <w:lang w:val="nl-NL"/>
        </w:rPr>
        <w:t xml:space="preserve">van der Vaart, A. and Wellner, J. (1996). "Weak Convergence and Empirical Processes". Springer. </w:t>
      </w:r>
    </w:p>
    <w:p>
      <w:pPr>
        <w:pStyle w:val="Default"/>
        <w:spacing w:before="0" w:line="240" w:lineRule="auto"/>
        <w:rPr>
          <w:rStyle w:val="None"/>
          <w:rFonts w:ascii="Times New Roman" w:cs="Times New Roman" w:hAnsi="Times New Roman" w:eastAsia="Times New Roman"/>
          <w:sz w:val="36"/>
          <w:szCs w:val="36"/>
        </w:rPr>
      </w:pPr>
      <w:r>
        <w:rPr>
          <w:rStyle w:val="None"/>
          <w:rFonts w:ascii="Times New Roman" w:hAnsi="Times New Roman"/>
          <w:sz w:val="26"/>
          <w:szCs w:val="26"/>
          <w:rtl w:val="0"/>
          <w:lang w:val="en-US"/>
        </w:rPr>
        <w:t>Typed lecture notes of all three parts will be provided</w:t>
      </w:r>
      <w:r>
        <w:rPr>
          <w:rStyle w:val="None"/>
          <w:rFonts w:ascii="Times New Roman" w:hAnsi="Times New Roman"/>
          <w:sz w:val="36"/>
          <w:szCs w:val="36"/>
          <w:rtl w:val="0"/>
          <w:lang w:val="en-US"/>
        </w:rPr>
        <w:t>.</w:t>
      </w:r>
    </w:p>
    <w:p>
      <w:pPr>
        <w:pStyle w:val="Body A"/>
        <w:spacing w:after="380"/>
      </w:pPr>
    </w:p>
    <w:p>
      <w:pPr>
        <w:pStyle w:val="Body A"/>
        <w:spacing w:after="380"/>
        <w:rPr>
          <w:rStyle w:val="None A"/>
        </w:rPr>
      </w:pPr>
      <w:r>
        <w:rPr>
          <w:rStyle w:val="None"/>
          <w:b w:val="1"/>
          <w:bCs w:val="1"/>
          <w:rtl w:val="0"/>
          <w:lang w:val="en-US"/>
        </w:rPr>
        <w:t xml:space="preserve">Evaluation: </w:t>
      </w:r>
    </w:p>
    <w:p>
      <w:pPr>
        <w:pStyle w:val="Default"/>
        <w:spacing w:before="0" w:after="60"/>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 xml:space="preserve">There will be regular homework assignments (at least 4) and an oral examination (details will be announced in class and will depend on the class size). </w:t>
      </w:r>
    </w:p>
    <w:p>
      <w:pPr>
        <w:pStyle w:val="Body A"/>
        <w:spacing w:after="380"/>
        <w:rPr>
          <w:rStyle w:val="None"/>
          <w:b w:val="1"/>
          <w:bCs w:val="1"/>
        </w:rPr>
      </w:pPr>
    </w:p>
    <w:p>
      <w:pPr>
        <w:pStyle w:val="Body A"/>
        <w:spacing w:after="380"/>
      </w:pPr>
      <w:r>
        <w:rPr>
          <w:rStyle w:val="None"/>
          <w:b w:val="1"/>
          <w:bCs w:val="1"/>
          <w:rtl w:val="0"/>
          <w:lang w:val="en-US"/>
        </w:rPr>
        <w:t>Topics</w:t>
      </w:r>
      <w:r>
        <w:rPr>
          <w:rStyle w:val="None A"/>
          <w:rtl w:val="0"/>
        </w:rPr>
        <w:t xml:space="preserve">:  </w:t>
      </w:r>
    </w:p>
    <w:p>
      <w:pPr>
        <w:pStyle w:val="Default"/>
        <w:spacing w:before="0" w:after="60"/>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1) Elements of Gaussian processes (concentration, comparison, anti-concentration, and super-concentration inequalities, Talagrand</w:t>
      </w:r>
      <w:r>
        <w:rPr>
          <w:rStyle w:val="None"/>
          <w:rFonts w:ascii="Arial Unicode MS" w:hAnsi="Arial Unicode MS" w:hint="default"/>
          <w:sz w:val="26"/>
          <w:szCs w:val="26"/>
          <w:rtl w:val="0"/>
          <w:lang w:val="en-US"/>
        </w:rPr>
        <w:t>’</w:t>
      </w:r>
      <w:r>
        <w:rPr>
          <w:rStyle w:val="None"/>
          <w:rFonts w:ascii="Times New Roman" w:hAnsi="Times New Roman"/>
          <w:sz w:val="26"/>
          <w:szCs w:val="26"/>
          <w:rtl w:val="0"/>
          <w:lang w:val="en-US"/>
        </w:rPr>
        <w:t>s Generic chaining bounds).</w:t>
      </w:r>
    </w:p>
    <w:p>
      <w:pPr>
        <w:pStyle w:val="Default"/>
        <w:spacing w:before="0" w:after="60"/>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2) Elements of empirical processes (convergence of laws on separable metric spaces, Glivenko-Cantelli and Donsker theorems under metric and bracketing entropy conditions, applications to bootstrap).</w:t>
      </w:r>
    </w:p>
    <w:p>
      <w:pPr>
        <w:pStyle w:val="Default"/>
        <w:spacing w:before="0" w:after="60"/>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3) A selection of theoretical problems in high-dimensional inference (focusing on but not limited to Gaussian approximation, high-dimensional CLTs, and multiplier bootstrap when function classes are not Donsker).</w:t>
      </w:r>
    </w:p>
    <w:p>
      <w:pPr>
        <w:pStyle w:val="Body A"/>
      </w:pPr>
    </w:p>
    <w:p>
      <w:pPr>
        <w:pStyle w:val="Body A"/>
      </w:pPr>
      <w:r/>
    </w:p>
    <w:sectPr>
      <w:headerReference w:type="default" r:id="rId5"/>
      <w:footerReference w:type="default" r:id="rId6"/>
      <w:pgSz w:w="12240" w:h="15840" w:orient="portrait"/>
      <w:pgMar w:top="1380" w:right="1720" w:bottom="280" w:left="13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shd w:val="nil" w:color="auto" w:fill="auto"/>
      <w:lang w:val="en-US"/>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068da"/>
      <w:sz w:val="26"/>
      <w:szCs w:val="26"/>
      <w:u w:val="single" w:color="0068da"/>
      <w:lang w:val="en-US"/>
      <w14:textFill>
        <w14:solidFill>
          <w14:srgbClr w14:val="0068D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